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E2AD" w14:textId="77777777" w:rsidR="00D0450A" w:rsidRPr="00D0450A" w:rsidRDefault="00D0450A" w:rsidP="00D0450A">
      <w:pPr>
        <w:widowControl w:val="0"/>
        <w:tabs>
          <w:tab w:val="left" w:pos="3834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24AACD6" w14:textId="77777777" w:rsidR="00D0450A" w:rsidRDefault="00D0450A" w:rsidP="00D0450A">
      <w:pPr>
        <w:widowControl w:val="0"/>
        <w:tabs>
          <w:tab w:val="left" w:pos="383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045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«Ақмола  облысы  білім  басқармасының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5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Атбасар ауданы бойынша білім бөлімінің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5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жанындағы</w:t>
      </w:r>
      <w:r w:rsidRPr="00D0450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Атбасар  қаласының </w:t>
      </w:r>
    </w:p>
    <w:p w14:paraId="1FAF6318" w14:textId="2DCC50F6" w:rsidR="00D0450A" w:rsidRPr="00D0450A" w:rsidRDefault="00D0450A" w:rsidP="00D0450A">
      <w:pPr>
        <w:widowControl w:val="0"/>
        <w:tabs>
          <w:tab w:val="left" w:pos="38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0450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«Алтын бесік»бөбекжайы»МКҚК</w:t>
      </w:r>
    </w:p>
    <w:p w14:paraId="00000001" w14:textId="2DEA3A54" w:rsidR="00D86277" w:rsidRPr="00D0450A" w:rsidRDefault="00D0450A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045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br/>
        <w:t>Қамқоршылық кеңесі туралы ережесі</w:t>
      </w:r>
    </w:p>
    <w:p w14:paraId="00000002" w14:textId="77777777" w:rsidR="00D86277" w:rsidRPr="00D0450A" w:rsidRDefault="00D862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bookmarkStart w:id="1" w:name="_fjpiscpxcoi8" w:colFirst="0" w:colLast="0"/>
      <w:bookmarkEnd w:id="1"/>
    </w:p>
    <w:p w14:paraId="00000003" w14:textId="77777777" w:rsidR="00D86277" w:rsidRPr="00D0450A" w:rsidRDefault="00D862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bookmarkStart w:id="2" w:name="_ijwip0kkc0gs" w:colFirst="0" w:colLast="0"/>
      <w:bookmarkEnd w:id="2"/>
    </w:p>
    <w:p w14:paraId="00000004" w14:textId="77777777" w:rsidR="00D86277" w:rsidRDefault="00D0450A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ережелер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05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1.1. Осы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Ереже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сайлау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тәртібінің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үлгілік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шілдедегі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№ 355-бұйрығына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толықты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рулар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м.а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2023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наурыздағы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№ 56-бұйрығына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әзірленді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06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басқарудың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алқалы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07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қызметінде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қолданыстағы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заңнамасын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Жарғысын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Ережені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басшылыққа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08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өкілеттіктерін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орындауы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өтеусіз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09" w14:textId="77777777" w:rsidR="00D86277" w:rsidRDefault="00D045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C"/>
        </w:rPr>
        <w:t xml:space="preserve">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2CC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2CC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амқоршылық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мақсаттары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0A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құрудың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жарғылық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міндеттерін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тұрақтылықты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материалдық-техникалық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базаны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жақсарту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қызметіне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бақылауды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0B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000000C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дамытудың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бағыттары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ұсынымдарды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әзірлейді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0D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саланың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анықтаған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жұмысындағы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кемшіліктерді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жою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ұсыныстар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енгізеді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0E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бюджетін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кезінд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ұсыныстар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әзірлейді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0F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Жарғысы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Ішкі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тәртіп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ережелеріне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енгізуді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0" w14:textId="77777777" w:rsidR="00D86277" w:rsidRDefault="00D862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C"/>
        </w:rPr>
      </w:pPr>
    </w:p>
    <w:p w14:paraId="00000011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түскен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қаржылай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қаражатты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бөлу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хаттамалық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шығаруға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демеушілік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бағыттарын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нысандарын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мөлшерін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тәртібін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мақсатты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жұмсалуы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қабылдайды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2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тәрбиеленушілердің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ата-аналардың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құқықтары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бостандықтарының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сақталуына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жүргізеді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құқықтарын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қорғауға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тәрбиеленушілердің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қауіпсіздігін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қамтам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асыз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етуге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зорлық-зомбылық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кемсітушіліктің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физикалық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психикалық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түрлерінен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қорғауға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жәрдемдеседі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3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санитариялық-гигиеналық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талаптардың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тамақтану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сапасының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ауыз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режимінің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сақталуын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іргелес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аумақтың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жай-күйін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бақылайды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4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қиын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өмірлік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жағдайға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тап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тәрбиеленушілерге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материалдық-техникалық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базаны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нығайту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шотына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түсетін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демеушілік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қаражаттың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жұмсалуына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бақылауды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5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Тұрғын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қатынастары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халықтың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осал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топтарына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жататын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отбасылардан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шыққан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тәрбиеленушілерге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жәрдемдеседі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жетім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ата-анасының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қамқорлығынсыз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ерекше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алаларды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шараларын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жөнінде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ұсыныстар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әзірлейді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6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педагогтердің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ата-аналардың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ортасында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туындаған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жанжалдарды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жәрдемдеседі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7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мәселелері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дени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сауықтыру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іс-шараларын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конференцияларды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кеңестерді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семинарларды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8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құзыретіне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жататын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мәселелер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Заңдар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актілердің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жобаларын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талқылауға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19" w14:textId="77777777" w:rsidR="00D86277" w:rsidRDefault="00D862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C"/>
        </w:rPr>
      </w:pPr>
    </w:p>
    <w:p w14:paraId="0000001A" w14:textId="77777777" w:rsidR="00D86277" w:rsidRDefault="00D04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құрамы</w:t>
      </w:r>
      <w:proofErr w:type="spellEnd"/>
    </w:p>
    <w:p w14:paraId="0000001B" w14:textId="77777777" w:rsidR="00D86277" w:rsidRDefault="00D862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1C" w14:textId="77777777" w:rsidR="00D86277" w:rsidRDefault="00D0450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3.1.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құрамына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000001D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органдарының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E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үкіметтік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коммерциялық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1F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бұқаралық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құралдарының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20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тәрбиеленушілерінің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ата-аналары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(осы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жастағы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топтың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тәрбиеленушілерінің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бір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ата-анасы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өкілі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жастағы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топтардың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санынан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аспайды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;</w:t>
      </w:r>
    </w:p>
    <w:p w14:paraId="00000021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ардагерл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14:paraId="00000022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жасаушылар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меценаттар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00000023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4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сайланған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құрамын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хаттамалық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бекітеді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сайланған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тізімі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орналастырылады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өкілдерінің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2/3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екісінен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спайды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МДҰ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қызметкерлерінің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құрамына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7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сайланатын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Төраға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sz w:val="28"/>
          <w:szCs w:val="28"/>
        </w:rPr>
        <w:t>рекет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Қағидалар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ережелерге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болмаған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функцияларын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құрамына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өкілде</w:t>
      </w:r>
      <w:r>
        <w:rPr>
          <w:rFonts w:ascii="Times New Roman" w:eastAsia="Times New Roman" w:hAnsi="Times New Roman" w:cs="Times New Roman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қоспағанда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9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қызметкерлерінің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тәуелсіз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сайланатын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саналмайтын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отырыстарының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хаттамаларын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дайындауды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өткізуді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ресімдеуді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A" w14:textId="77777777" w:rsidR="00D86277" w:rsidRDefault="00D862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D86277" w:rsidRDefault="00D045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құқықтары</w:t>
      </w:r>
      <w:proofErr w:type="spellEnd"/>
    </w:p>
    <w:p w14:paraId="0000002C" w14:textId="77777777" w:rsidR="00D86277" w:rsidRDefault="00D862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D" w14:textId="77777777" w:rsidR="00D86277" w:rsidRDefault="00D045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E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материалдық-техникалық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ұсынған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қаражатты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қаржы-шаруашылық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F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перспективаларымен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түзетулер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0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көмектің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асырылуын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1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қаражатты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бөлу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тәртібін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мөлшері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2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ата-аналар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қауымын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3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меценаттардан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қаражатты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заңдылығы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тиімділігіне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бақылауды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4" w14:textId="77777777" w:rsidR="00D86277" w:rsidRDefault="00D862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35" w14:textId="77777777" w:rsidR="00D86277" w:rsidRDefault="00D045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тәртібі</w:t>
      </w:r>
      <w:proofErr w:type="spellEnd"/>
    </w:p>
    <w:p w14:paraId="00000036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тоқсанына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өткізіледі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отырыстарын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бейнеконференцбайланыс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режимінде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7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ақпаратты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хатшысы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мүшелерін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хабардар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ете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ресурсында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орналастырады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Интернет-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ресурстағы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отырыстың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өткізілетін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күнін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уақытын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орнын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қамтиды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8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отырысқа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санының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2/3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үштен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екісі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мүшесінің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мүшесіне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тұлғаға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сенімхат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беруіне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берілмейді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9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қатысқан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мүшелердің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көпшілік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даусымен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ашық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қабылданады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хаттамамен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ресімделеді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төраға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қояды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Дауыстар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төрағаның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функцияларын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асыраты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қабылданады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A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5.5.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шешімдерін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әкімшілігі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мерзімде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қабылдай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қарайды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B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5.6.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хаттамамен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рәсімделеді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отырған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мүшелері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қояды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басшысына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келісуге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енгізіледі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C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5.7.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келіспеген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келіспеушіліктер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келісу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рәсімдері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еңсеру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қатысушылардың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қатысатын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D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5.8.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шешімдерін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хатшысы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ресурсына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орналастырады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E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5.9.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ерікті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өтеусіз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көрсетіледі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Қамқоршылық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жұмсалады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3F" w14:textId="77777777" w:rsidR="00D86277" w:rsidRDefault="00D0450A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5.10.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қабылданған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көмектен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түсетін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түсімдер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0000040" w14:textId="77777777" w:rsidR="00D86277" w:rsidRDefault="00D0450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мекеме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нысанда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бюджетті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атқару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органның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аумақтық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бөлімшесінде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ашылған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қолма-қол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ақшасын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шотына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0000041" w14:textId="77777777" w:rsidR="00D86277" w:rsidRDefault="00D0450A">
      <w:pPr>
        <w:numPr>
          <w:ilvl w:val="0"/>
          <w:numId w:val="3"/>
        </w:num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ұйымдық-құқықтық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нысандарда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деңгейдегі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банкте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ашылған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шотына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аударылады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000042" w14:textId="77777777" w:rsidR="00D86277" w:rsidRDefault="00D8627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C"/>
        </w:rPr>
      </w:pPr>
    </w:p>
    <w:p w14:paraId="00000043" w14:textId="77777777" w:rsidR="00D86277" w:rsidRDefault="00D045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көмектен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түсімдер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мақсаттарға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4" w14:textId="77777777" w:rsidR="00D86277" w:rsidRDefault="00D0450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тәрбиеленушілерін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5" w14:textId="77777777" w:rsidR="00D86277" w:rsidRDefault="00D0450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материалдық-тех</w:t>
      </w:r>
      <w:r>
        <w:rPr>
          <w:rFonts w:ascii="Times New Roman" w:eastAsia="Times New Roman" w:hAnsi="Times New Roman" w:cs="Times New Roman"/>
          <w:sz w:val="28"/>
          <w:szCs w:val="28"/>
        </w:rPr>
        <w:t>никалық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жетілдіруге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заттық-кеңістіктік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жұмсалады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6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ата-аналар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жұртшылығын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7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тоқтату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8" w14:textId="77777777" w:rsidR="00D86277" w:rsidRDefault="00D0450A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бастамасы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9" w14:textId="77777777" w:rsidR="00D86277" w:rsidRDefault="00D0450A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</w:t>
      </w:r>
      <w:r>
        <w:rPr>
          <w:rFonts w:ascii="Times New Roman" w:eastAsia="Times New Roman" w:hAnsi="Times New Roman" w:cs="Times New Roman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A" w14:textId="77777777" w:rsidR="00D86277" w:rsidRDefault="00D0450A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өткеннен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B" w14:textId="77777777" w:rsidR="00D86277" w:rsidRDefault="00D0450A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өкілеттігі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мерзімінен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тоқтатылған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C" w14:textId="77777777" w:rsidR="00D86277" w:rsidRDefault="00D045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құрамынан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D" w14:textId="77777777" w:rsidR="00D86277" w:rsidRDefault="00D0450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төрағасының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4E" w14:textId="77777777" w:rsidR="00D86277" w:rsidRDefault="00D0450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отырыстарында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дәлелсіз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себептермен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болмау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себебінен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шығарылады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F" w14:textId="77777777" w:rsidR="00D86277" w:rsidRDefault="00D862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00000050" w14:textId="77777777" w:rsidR="00D86277" w:rsidRDefault="00D862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00000051" w14:textId="77777777" w:rsidR="00D86277" w:rsidRDefault="00D862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FF00"/>
          <w:sz w:val="28"/>
          <w:szCs w:val="28"/>
        </w:rPr>
      </w:pPr>
    </w:p>
    <w:p w14:paraId="00000052" w14:textId="77777777" w:rsidR="00D86277" w:rsidRDefault="00D862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53" w14:textId="77777777" w:rsidR="00D86277" w:rsidRDefault="00D862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54" w14:textId="77777777" w:rsidR="00D86277" w:rsidRDefault="00D86277">
      <w:pPr>
        <w:spacing w:after="150" w:line="240" w:lineRule="auto"/>
        <w:jc w:val="both"/>
        <w:rPr>
          <w:b/>
          <w:color w:val="222222"/>
          <w:sz w:val="21"/>
          <w:szCs w:val="21"/>
        </w:rPr>
      </w:pPr>
    </w:p>
    <w:p w14:paraId="00000055" w14:textId="77777777" w:rsidR="00D86277" w:rsidRDefault="00D86277">
      <w:pPr>
        <w:spacing w:after="150" w:line="240" w:lineRule="auto"/>
        <w:jc w:val="both"/>
        <w:rPr>
          <w:b/>
          <w:color w:val="222222"/>
          <w:sz w:val="21"/>
          <w:szCs w:val="21"/>
        </w:rPr>
      </w:pPr>
    </w:p>
    <w:p w14:paraId="00000056" w14:textId="77777777" w:rsidR="00D86277" w:rsidRDefault="00D86277">
      <w:pPr>
        <w:spacing w:after="150" w:line="240" w:lineRule="auto"/>
        <w:jc w:val="center"/>
        <w:rPr>
          <w:b/>
          <w:color w:val="222222"/>
          <w:sz w:val="21"/>
          <w:szCs w:val="21"/>
        </w:rPr>
      </w:pPr>
    </w:p>
    <w:p w14:paraId="00000057" w14:textId="77777777" w:rsidR="00D86277" w:rsidRDefault="00D86277">
      <w:pPr>
        <w:spacing w:after="150" w:line="240" w:lineRule="auto"/>
        <w:jc w:val="center"/>
        <w:rPr>
          <w:b/>
          <w:color w:val="222222"/>
          <w:sz w:val="21"/>
          <w:szCs w:val="21"/>
        </w:rPr>
      </w:pPr>
    </w:p>
    <w:p w14:paraId="00000058" w14:textId="77777777" w:rsidR="00D86277" w:rsidRDefault="00D86277"/>
    <w:sectPr w:rsidR="00D86277" w:rsidSect="00D0450A"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87E"/>
    <w:multiLevelType w:val="multilevel"/>
    <w:tmpl w:val="203012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AA6FD0"/>
    <w:multiLevelType w:val="multilevel"/>
    <w:tmpl w:val="BF328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612DCA"/>
    <w:multiLevelType w:val="multilevel"/>
    <w:tmpl w:val="B9AA2D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805906"/>
    <w:multiLevelType w:val="multilevel"/>
    <w:tmpl w:val="2E666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7"/>
    <w:rsid w:val="00D0450A"/>
    <w:rsid w:val="00D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61C4"/>
  <w15:docId w15:val="{160AA5AD-D3E6-4CA2-9036-7D3941D7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Altyn_besik</cp:lastModifiedBy>
  <cp:revision>2</cp:revision>
  <dcterms:created xsi:type="dcterms:W3CDTF">2024-09-03T11:55:00Z</dcterms:created>
  <dcterms:modified xsi:type="dcterms:W3CDTF">2024-09-03T11:56:00Z</dcterms:modified>
</cp:coreProperties>
</file>